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Following a </w:t>
      </w:r>
      <w:proofErr w:type="gramStart"/>
      <w:r w:rsidRPr="000D6240">
        <w:rPr>
          <w:rFonts w:ascii="Arial" w:hAnsi="Arial" w:cs="Arial"/>
          <w:sz w:val="26"/>
          <w:szCs w:val="26"/>
        </w:rPr>
        <w:t>specially-designed</w:t>
      </w:r>
      <w:proofErr w:type="gramEnd"/>
      <w:r w:rsidRPr="000D6240">
        <w:rPr>
          <w:rFonts w:ascii="Arial" w:hAnsi="Arial" w:cs="Arial"/>
          <w:sz w:val="26"/>
          <w:szCs w:val="26"/>
        </w:rPr>
        <w:t xml:space="preserve"> program of warm-up exercises (PEP program) significantly improves muscle strength and flexibility and biomechanical imbalances blamed for the </w:t>
      </w:r>
      <w:hyperlink r:id="rId4" w:history="1">
        <w:r w:rsidRPr="000D6240">
          <w:rPr>
            <w:rFonts w:ascii="Arial" w:hAnsi="Arial" w:cs="Arial"/>
            <w:color w:val="1970C5"/>
            <w:sz w:val="26"/>
            <w:szCs w:val="26"/>
          </w:rPr>
          <w:t xml:space="preserve">epidemic of anterior </w:t>
        </w:r>
        <w:proofErr w:type="spellStart"/>
        <w:r w:rsidRPr="000D6240">
          <w:rPr>
            <w:rFonts w:ascii="Arial" w:hAnsi="Arial" w:cs="Arial"/>
            <w:color w:val="1970C5"/>
            <w:sz w:val="26"/>
            <w:szCs w:val="26"/>
          </w:rPr>
          <w:t>cruciate</w:t>
        </w:r>
        <w:proofErr w:type="spellEnd"/>
        <w:r w:rsidRPr="000D6240">
          <w:rPr>
            <w:rFonts w:ascii="Arial" w:hAnsi="Arial" w:cs="Arial"/>
            <w:color w:val="1970C5"/>
            <w:sz w:val="26"/>
            <w:szCs w:val="26"/>
          </w:rPr>
          <w:t xml:space="preserve"> injuries among female athletes</w:t>
        </w:r>
      </w:hyperlink>
      <w:r w:rsidRPr="000D6240">
        <w:rPr>
          <w:rFonts w:ascii="Arial" w:hAnsi="Arial" w:cs="Arial"/>
          <w:sz w:val="26"/>
          <w:szCs w:val="26"/>
        </w:rPr>
        <w:t>, a new study says. </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Researchers in South Korea found that female high school basketball players following a slightly modified version of the </w:t>
      </w:r>
      <w:hyperlink r:id="rId5" w:history="1">
        <w:r w:rsidRPr="000D6240">
          <w:rPr>
            <w:rFonts w:ascii="Arial" w:hAnsi="Arial" w:cs="Arial"/>
            <w:color w:val="1970C5"/>
            <w:sz w:val="26"/>
            <w:szCs w:val="26"/>
          </w:rPr>
          <w:t>Prevent Injury and Enhance Performance program</w:t>
        </w:r>
      </w:hyperlink>
      <w:r w:rsidRPr="000D6240">
        <w:rPr>
          <w:rFonts w:ascii="Arial" w:hAnsi="Arial" w:cs="Arial"/>
          <w:sz w:val="26"/>
          <w:szCs w:val="26"/>
        </w:rPr>
        <w:t xml:space="preserve"> over an 8-week period had better strength, flexibility and biomechanics compared with a control group not following the program. The findings are reported in the September 2009 issue of the </w:t>
      </w:r>
      <w:r w:rsidRPr="000D6240">
        <w:rPr>
          <w:rFonts w:ascii="Arial" w:hAnsi="Arial" w:cs="Arial"/>
          <w:i/>
          <w:iCs/>
          <w:sz w:val="26"/>
          <w:szCs w:val="26"/>
        </w:rPr>
        <w:t>American Journal of Sports Medicine.</w:t>
      </w:r>
      <w:r w:rsidRPr="000D6240">
        <w:rPr>
          <w:rFonts w:ascii="Arial" w:hAnsi="Arial" w:cs="Arial"/>
          <w:sz w:val="26"/>
          <w:szCs w:val="26"/>
        </w:rPr>
        <w:t xml:space="preserve"> </w:t>
      </w:r>
      <w:r w:rsidRPr="000D6240">
        <w:rPr>
          <w:rFonts w:ascii="Arial" w:hAnsi="Arial" w:cs="Arial"/>
          <w:sz w:val="22"/>
          <w:szCs w:val="22"/>
          <w:vertAlign w:val="superscript"/>
        </w:rPr>
        <w:t>1</w:t>
      </w:r>
    </w:p>
    <w:p w:rsidR="000D6240" w:rsidRPr="000D6240" w:rsidRDefault="000D6240" w:rsidP="000D6240">
      <w:pPr>
        <w:widowControl w:val="0"/>
        <w:autoSpaceDE w:val="0"/>
        <w:autoSpaceDN w:val="0"/>
        <w:adjustRightInd w:val="0"/>
        <w:rPr>
          <w:rFonts w:ascii="Arial" w:hAnsi="Arial" w:cs="Arial"/>
          <w:sz w:val="26"/>
          <w:szCs w:val="26"/>
        </w:rPr>
      </w:pPr>
    </w:p>
    <w:p w:rsidR="000D6240" w:rsidRPr="000D6240" w:rsidRDefault="000D6240" w:rsidP="000D6240">
      <w:pPr>
        <w:widowControl w:val="0"/>
        <w:autoSpaceDE w:val="0"/>
        <w:autoSpaceDN w:val="0"/>
        <w:adjustRightInd w:val="0"/>
        <w:spacing w:after="180"/>
        <w:rPr>
          <w:rFonts w:ascii="Arial" w:hAnsi="Arial" w:cs="Arial"/>
          <w:b/>
          <w:bCs/>
          <w:color w:val="343434"/>
          <w:sz w:val="36"/>
          <w:szCs w:val="36"/>
        </w:rPr>
      </w:pPr>
      <w:r w:rsidRPr="000D6240">
        <w:rPr>
          <w:rFonts w:ascii="Arial" w:hAnsi="Arial" w:cs="Arial"/>
          <w:b/>
          <w:bCs/>
          <w:color w:val="343434"/>
          <w:sz w:val="36"/>
          <w:szCs w:val="36"/>
        </w:rPr>
        <w:t>Increased compliance</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The study noted that one of the advantages of the PEP program over other injury prevention programs developed in recent years to reduce the risk of ACL injuries in female athletes is that it takes only 15 minutes during warm up and 5 minutes during warm/cool down to complete and can be integrated into a team's pre-practice or game routine.  This makes implementation feasible and practical, even for younger populations, and increases compliance.</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The study was "exactly what we wanted to see," said Holly Silvers, MTP, ACL Prevention Project Coordinator at the </w:t>
      </w:r>
      <w:hyperlink r:id="rId6" w:history="1">
        <w:r w:rsidRPr="000D6240">
          <w:rPr>
            <w:rFonts w:ascii="Arial" w:hAnsi="Arial" w:cs="Arial"/>
            <w:color w:val="1970C5"/>
            <w:sz w:val="26"/>
            <w:szCs w:val="26"/>
          </w:rPr>
          <w:t>non-profit Santa Monica Orthopedic and Sports Medicine Research Foundation</w:t>
        </w:r>
      </w:hyperlink>
      <w:r w:rsidRPr="000D6240">
        <w:rPr>
          <w:rFonts w:ascii="Arial" w:hAnsi="Arial" w:cs="Arial"/>
          <w:sz w:val="26"/>
          <w:szCs w:val="26"/>
        </w:rPr>
        <w:t xml:space="preserve">, which developed the popular PEP program a decade ago. It is "valuable because it shows that the PEP is not only practical, cost effective, and uses time efficiently - all factors that affect compliance </w:t>
      </w:r>
      <w:proofErr w:type="gramStart"/>
      <w:r w:rsidRPr="000D6240">
        <w:rPr>
          <w:rFonts w:ascii="Arial" w:hAnsi="Arial" w:cs="Arial"/>
          <w:sz w:val="26"/>
          <w:szCs w:val="26"/>
        </w:rPr>
        <w:t>-  but</w:t>
      </w:r>
      <w:proofErr w:type="gramEnd"/>
      <w:r w:rsidRPr="000D6240">
        <w:rPr>
          <w:rFonts w:ascii="Arial" w:hAnsi="Arial" w:cs="Arial"/>
          <w:sz w:val="26"/>
          <w:szCs w:val="26"/>
        </w:rPr>
        <w:t xml:space="preserve"> that it works." </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The advantage of PEP, Silvers noted, is that, because it is a warm-up program, it essentially "kill two birds with one stone: not only reducing the specific ACL injury risk to female athletes but the more </w:t>
      </w:r>
      <w:hyperlink r:id="rId7" w:history="1">
        <w:r w:rsidRPr="000D6240">
          <w:rPr>
            <w:rFonts w:ascii="Arial" w:hAnsi="Arial" w:cs="Arial"/>
            <w:color w:val="1970C5"/>
            <w:sz w:val="26"/>
            <w:szCs w:val="26"/>
          </w:rPr>
          <w:t>general risk of injury resulting from inadequate warm-up</w:t>
        </w:r>
      </w:hyperlink>
      <w:r w:rsidRPr="000D6240">
        <w:rPr>
          <w:rFonts w:ascii="Arial" w:hAnsi="Arial" w:cs="Arial"/>
          <w:sz w:val="26"/>
          <w:szCs w:val="26"/>
        </w:rPr>
        <w:t xml:space="preserve"> before sports."  </w:t>
      </w:r>
    </w:p>
    <w:p w:rsidR="000D6240" w:rsidRPr="000D6240" w:rsidRDefault="000D6240" w:rsidP="000D6240">
      <w:pPr>
        <w:widowControl w:val="0"/>
        <w:autoSpaceDE w:val="0"/>
        <w:autoSpaceDN w:val="0"/>
        <w:adjustRightInd w:val="0"/>
        <w:spacing w:after="180"/>
        <w:rPr>
          <w:rFonts w:ascii="Arial" w:hAnsi="Arial" w:cs="Arial"/>
          <w:b/>
          <w:bCs/>
          <w:color w:val="343434"/>
          <w:sz w:val="36"/>
          <w:szCs w:val="36"/>
        </w:rPr>
      </w:pPr>
      <w:r w:rsidRPr="000D6240">
        <w:rPr>
          <w:rFonts w:ascii="Arial" w:hAnsi="Arial" w:cs="Arial"/>
          <w:b/>
          <w:bCs/>
          <w:color w:val="343434"/>
          <w:sz w:val="36"/>
          <w:szCs w:val="36"/>
        </w:rPr>
        <w:t>Season-long program urged</w:t>
      </w: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The athletes involved in the Korean study followed the program for 8 weeks, and the authors speculated that a minimum of 4 to 6 weeks was needed to obtain measurable benefits in ACL injury reduction. Silvers, however, recommends that the PEP exercise regimen be started in the pre-season and continue over the course of the entire season.  "We are finding in our studies that the benefits of PEP, not just in reducing non-contact ACL injuries to which female athletes are particularly susceptible, but in those resulting from player-to-player contact, is particularly significant in the second half of a season." </w:t>
      </w:r>
    </w:p>
    <w:p w:rsidR="000D6240" w:rsidRPr="000D6240" w:rsidRDefault="000D6240" w:rsidP="000D6240">
      <w:pPr>
        <w:widowControl w:val="0"/>
        <w:autoSpaceDE w:val="0"/>
        <w:autoSpaceDN w:val="0"/>
        <w:adjustRightInd w:val="0"/>
        <w:jc w:val="center"/>
        <w:rPr>
          <w:rFonts w:ascii="Arial" w:hAnsi="Arial" w:cs="Arial"/>
          <w:b/>
          <w:bCs/>
          <w:color w:val="FFFFFF"/>
          <w:sz w:val="18"/>
          <w:szCs w:val="18"/>
        </w:rPr>
      </w:pPr>
    </w:p>
    <w:p w:rsidR="000D6240" w:rsidRPr="000D6240" w:rsidRDefault="000D6240" w:rsidP="000D6240">
      <w:pPr>
        <w:widowControl w:val="0"/>
        <w:autoSpaceDE w:val="0"/>
        <w:autoSpaceDN w:val="0"/>
        <w:adjustRightInd w:val="0"/>
        <w:jc w:val="center"/>
        <w:rPr>
          <w:rFonts w:ascii="Arial" w:hAnsi="Arial" w:cs="Arial"/>
          <w:sz w:val="26"/>
          <w:szCs w:val="26"/>
        </w:rPr>
      </w:pPr>
      <w:r w:rsidRPr="000D6240">
        <w:rPr>
          <w:rFonts w:ascii="Arial" w:hAnsi="Arial" w:cs="Arial"/>
          <w:b/>
          <w:bCs/>
          <w:sz w:val="26"/>
          <w:szCs w:val="26"/>
        </w:rPr>
        <w:t>PEP (Prevent Injury and Enhance Performance) Training Program (</w:t>
      </w:r>
      <w:proofErr w:type="gramStart"/>
      <w:r w:rsidRPr="000D6240">
        <w:rPr>
          <w:rFonts w:ascii="Arial" w:hAnsi="Arial" w:cs="Arial"/>
          <w:b/>
          <w:bCs/>
          <w:sz w:val="26"/>
          <w:szCs w:val="26"/>
        </w:rPr>
        <w:t>Overview)</w:t>
      </w:r>
      <w:r w:rsidRPr="000D6240">
        <w:rPr>
          <w:rFonts w:ascii="Arial" w:hAnsi="Arial" w:cs="Arial"/>
          <w:b/>
          <w:bCs/>
          <w:sz w:val="22"/>
          <w:szCs w:val="22"/>
          <w:vertAlign w:val="superscript"/>
        </w:rPr>
        <w:t>2</w:t>
      </w:r>
      <w:proofErr w:type="gramEnd"/>
      <w:r w:rsidRPr="000D6240">
        <w:rPr>
          <w:rFonts w:ascii="Arial" w:hAnsi="Arial" w:cs="Arial"/>
          <w:b/>
          <w:bCs/>
          <w:sz w:val="26"/>
          <w:szCs w:val="26"/>
        </w:rPr>
        <w:t xml:space="preserve"> </w:t>
      </w:r>
    </w:p>
    <w:tbl>
      <w:tblPr>
        <w:tblW w:w="10300" w:type="dxa"/>
        <w:tblBorders>
          <w:top w:val="nil"/>
          <w:left w:val="nil"/>
          <w:right w:val="nil"/>
        </w:tblBorders>
        <w:tblLayout w:type="fixed"/>
        <w:tblLook w:val="0000"/>
      </w:tblPr>
      <w:tblGrid>
        <w:gridCol w:w="3920"/>
        <w:gridCol w:w="2544"/>
        <w:gridCol w:w="3836"/>
      </w:tblGrid>
      <w:tr w:rsidR="000D6240" w:rsidRPr="000D6240">
        <w:tblPrEx>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jc w:val="center"/>
              <w:rPr>
                <w:rFonts w:ascii="Arial" w:hAnsi="Arial" w:cs="Arial"/>
                <w:sz w:val="26"/>
                <w:szCs w:val="26"/>
              </w:rPr>
            </w:pPr>
            <w:r w:rsidRPr="000D6240">
              <w:rPr>
                <w:rFonts w:ascii="Arial" w:hAnsi="Arial" w:cs="Arial"/>
                <w:sz w:val="26"/>
                <w:szCs w:val="26"/>
              </w:rPr>
              <w:t> Exercise</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jc w:val="center"/>
              <w:rPr>
                <w:rFonts w:ascii="Arial" w:hAnsi="Arial" w:cs="Arial"/>
                <w:sz w:val="26"/>
                <w:szCs w:val="26"/>
              </w:rPr>
            </w:pPr>
            <w:r w:rsidRPr="000D6240">
              <w:rPr>
                <w:rFonts w:ascii="Arial" w:hAnsi="Arial" w:cs="Arial"/>
                <w:sz w:val="26"/>
                <w:szCs w:val="26"/>
              </w:rPr>
              <w:t> Distance</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jc w:val="center"/>
              <w:rPr>
                <w:rFonts w:ascii="Arial" w:hAnsi="Arial" w:cs="Arial"/>
                <w:sz w:val="26"/>
                <w:szCs w:val="26"/>
              </w:rPr>
            </w:pPr>
            <w:r w:rsidRPr="000D6240">
              <w:rPr>
                <w:rFonts w:ascii="Arial" w:hAnsi="Arial" w:cs="Arial"/>
                <w:sz w:val="26"/>
                <w:szCs w:val="26"/>
              </w:rPr>
              <w:t> Repetitions/Elapsed Time</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1. </w:t>
            </w:r>
            <w:r w:rsidRPr="000D6240">
              <w:rPr>
                <w:rFonts w:ascii="Arial" w:hAnsi="Arial" w:cs="Arial"/>
                <w:b/>
                <w:bCs/>
                <w:sz w:val="26"/>
                <w:szCs w:val="26"/>
                <w:u w:val="single"/>
              </w:rPr>
              <w:t>Warm-Up</w:t>
            </w:r>
            <w:r w:rsidRPr="000D6240">
              <w:rPr>
                <w:rFonts w:ascii="Arial" w:hAnsi="Arial" w:cs="Arial"/>
                <w:sz w:val="26"/>
                <w:szCs w:val="26"/>
              </w:rPr>
              <w:t> </w:t>
            </w:r>
          </w:p>
        </w:tc>
        <w:tc>
          <w:tcPr>
            <w:tcW w:w="244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b/>
                <w:bCs/>
                <w:sz w:val="26"/>
                <w:szCs w:val="26"/>
              </w:rPr>
              <w:t>Jog line to line</w:t>
            </w:r>
            <w:r w:rsidRPr="000D6240">
              <w:rPr>
                <w:rFonts w:ascii="Arial" w:hAnsi="Arial" w:cs="Arial"/>
                <w:sz w:val="26"/>
                <w:szCs w:val="26"/>
              </w:rPr>
              <w:t xml:space="preserve"> (cone to cone)</w:t>
            </w:r>
          </w:p>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 </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Soccer: End line to midfield and back</w:t>
            </w:r>
          </w:p>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Basketball: 100 yards</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Elapsed time: 0 - .5 minute</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b/>
                <w:bCs/>
                <w:sz w:val="26"/>
                <w:szCs w:val="26"/>
              </w:rPr>
              <w:t>Shuttle Run</w:t>
            </w:r>
            <w:r w:rsidRPr="000D6240">
              <w:rPr>
                <w:rFonts w:ascii="Arial" w:hAnsi="Arial" w:cs="Arial"/>
                <w:sz w:val="26"/>
                <w:szCs w:val="26"/>
              </w:rPr>
              <w:t xml:space="preserve"> (side to side)</w:t>
            </w:r>
          </w:p>
          <w:p w:rsidR="000D6240" w:rsidRPr="000D6240" w:rsidRDefault="000D6240" w:rsidP="000D6240">
            <w:pPr>
              <w:widowControl w:val="0"/>
              <w:autoSpaceDE w:val="0"/>
              <w:autoSpaceDN w:val="0"/>
              <w:adjustRightInd w:val="0"/>
              <w:rPr>
                <w:rFonts w:ascii="Arial" w:hAnsi="Arial" w:cs="Arial"/>
                <w:sz w:val="26"/>
                <w:szCs w:val="26"/>
              </w:rPr>
            </w:pPr>
          </w:p>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 </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Soccer: End line to midfield and back</w:t>
            </w:r>
          </w:p>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Basketball: 100 yards</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Elapsed time: .5 to 1 minute</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b/>
                <w:bCs/>
                <w:sz w:val="26"/>
                <w:szCs w:val="26"/>
              </w:rPr>
              <w:t>Backward Running</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Soccer: sideline to sideline</w:t>
            </w:r>
          </w:p>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Basketball: 100 yards</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Elapsed Time: 1 - 1.5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2. </w:t>
            </w:r>
            <w:r w:rsidRPr="000D6240">
              <w:rPr>
                <w:rFonts w:ascii="Arial" w:hAnsi="Arial" w:cs="Arial"/>
                <w:b/>
                <w:bCs/>
                <w:sz w:val="26"/>
                <w:szCs w:val="26"/>
                <w:u w:val="single"/>
              </w:rPr>
              <w:t>Stretching</w:t>
            </w:r>
          </w:p>
        </w:tc>
        <w:tc>
          <w:tcPr>
            <w:tcW w:w="244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Calf stretch</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30 seconds x 2 reps; Elapsed Time: 1.5 to 2.5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Quadriceps stretch</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30 seconds x 2 reps; Elapsed Time: 2.5 to 3.5 minutes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Figure Four Hamstring stretch</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30 sec x 2 reps; Elapsed time: 3.5 to 4.5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Inner thigh stretch</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20 sec x 3 reps; Elapsed time: 4.5 to 5.5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Hip flexor stretch</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30 sec x 2 reps; Elapsed time: 5.5 to 6.5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 xml:space="preserve">3. </w:t>
            </w:r>
            <w:r w:rsidRPr="000D6240">
              <w:rPr>
                <w:rFonts w:ascii="Arial" w:hAnsi="Arial" w:cs="Arial"/>
                <w:b/>
                <w:bCs/>
                <w:sz w:val="26"/>
                <w:szCs w:val="26"/>
                <w:u w:val="single"/>
              </w:rPr>
              <w:t>Strengthening</w:t>
            </w:r>
          </w:p>
        </w:tc>
        <w:tc>
          <w:tcPr>
            <w:tcW w:w="244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Walking Lunges</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 sets x 10 reps; Elapsed time: 6.5 to 7.5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Russian Hamstring</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 sets x 10 reps; Elapsed time: 7.5 to 8.5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Single Toe Raises</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2 sets x 30 reps; Elapsed time: 8.5 to 9.5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 4. </w:t>
            </w:r>
            <w:proofErr w:type="spellStart"/>
            <w:r w:rsidRPr="000D6240">
              <w:rPr>
                <w:rFonts w:ascii="Arial" w:hAnsi="Arial" w:cs="Arial"/>
                <w:b/>
                <w:bCs/>
                <w:sz w:val="26"/>
                <w:szCs w:val="26"/>
              </w:rPr>
              <w:t>Plyometrics</w:t>
            </w:r>
            <w:proofErr w:type="spellEnd"/>
          </w:p>
        </w:tc>
        <w:tc>
          <w:tcPr>
            <w:tcW w:w="244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Lateral hops over cone</w:t>
            </w:r>
            <w:r w:rsidRPr="000D6240">
              <w:rPr>
                <w:rFonts w:ascii="Arial" w:hAnsi="Arial" w:cs="Arial"/>
                <w:sz w:val="26"/>
                <w:szCs w:val="26"/>
              </w:rPr>
              <w:t xml:space="preserve"> </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20 reps; Elapsed time: 9.5 to 10 minutes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Forward/backward hops over cone</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20 reps; Elapsed time: 10 to 10.5 minutes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Single-leg hops over cone</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20 reps; Elapsed time: 10.5 to 11 minutes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Vertical jumps with headers</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20 reps; Elapsed time: 11 to 11.5 minutes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Scissors jump</w:t>
            </w:r>
            <w:r w:rsidRPr="000D6240">
              <w:rPr>
                <w:rFonts w:ascii="Arial" w:hAnsi="Arial" w:cs="Arial"/>
                <w:sz w:val="26"/>
                <w:szCs w:val="26"/>
              </w:rPr>
              <w:t xml:space="preserve"> </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20 reps; Elapsed time: 11.5 to 12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5. </w:t>
            </w:r>
            <w:r w:rsidRPr="000D6240">
              <w:rPr>
                <w:rFonts w:ascii="Arial" w:hAnsi="Arial" w:cs="Arial"/>
                <w:b/>
                <w:bCs/>
                <w:sz w:val="26"/>
                <w:szCs w:val="26"/>
              </w:rPr>
              <w:t>Agilities</w:t>
            </w:r>
          </w:p>
        </w:tc>
        <w:tc>
          <w:tcPr>
            <w:tcW w:w="244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Shuttle run with forward/backward running</w:t>
            </w:r>
            <w:r w:rsidRPr="000D6240">
              <w:rPr>
                <w:rFonts w:ascii="Arial" w:hAnsi="Arial" w:cs="Arial"/>
                <w:sz w:val="26"/>
                <w:szCs w:val="26"/>
              </w:rPr>
              <w:t xml:space="preserve"> </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Elapsed time: 12 to 13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b/>
                <w:bCs/>
                <w:sz w:val="26"/>
                <w:szCs w:val="26"/>
              </w:rPr>
            </w:pPr>
            <w:r w:rsidRPr="000D6240">
              <w:rPr>
                <w:rFonts w:ascii="Arial" w:hAnsi="Arial" w:cs="Arial"/>
                <w:b/>
                <w:bCs/>
                <w:sz w:val="26"/>
                <w:szCs w:val="26"/>
              </w:rPr>
              <w:t>Diagonal runs</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Elapsed time: 13 to 14 minutes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spacing w:line="400" w:lineRule="atLeast"/>
              <w:rPr>
                <w:rFonts w:ascii="Arial" w:hAnsi="Arial" w:cs="Arial"/>
                <w:sz w:val="26"/>
                <w:szCs w:val="26"/>
              </w:rPr>
            </w:pPr>
          </w:p>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b/>
                <w:bCs/>
                <w:sz w:val="26"/>
                <w:szCs w:val="26"/>
              </w:rPr>
              <w:t>Bounding runs</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44 yards</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Elapsed time: 14 to 15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r w:rsidRPr="000D6240">
              <w:rPr>
                <w:rFonts w:ascii="Arial" w:hAnsi="Arial" w:cs="Arial"/>
                <w:b/>
                <w:bCs/>
                <w:sz w:val="26"/>
                <w:szCs w:val="26"/>
              </w:rPr>
              <w:t>6. Alternative exercises - Warm down and Cool Down</w:t>
            </w:r>
          </w:p>
        </w:tc>
        <w:tc>
          <w:tcPr>
            <w:tcW w:w="244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C050"/>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b/>
                <w:bCs/>
                <w:sz w:val="26"/>
                <w:szCs w:val="26"/>
              </w:rPr>
            </w:pPr>
            <w:r w:rsidRPr="000D6240">
              <w:rPr>
                <w:rFonts w:ascii="Arial" w:hAnsi="Arial" w:cs="Arial"/>
                <w:b/>
                <w:bCs/>
                <w:sz w:val="26"/>
                <w:szCs w:val="26"/>
              </w:rPr>
              <w:t>Bridging with alternating hip flexion</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30 reps on each side </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b/>
                <w:bCs/>
                <w:sz w:val="26"/>
                <w:szCs w:val="26"/>
              </w:rPr>
            </w:pPr>
            <w:r w:rsidRPr="000D6240">
              <w:rPr>
                <w:rFonts w:ascii="Arial" w:hAnsi="Arial" w:cs="Arial"/>
                <w:b/>
                <w:bCs/>
                <w:sz w:val="26"/>
                <w:szCs w:val="26"/>
              </w:rPr>
              <w:t>Abdominal crunches</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30 reps x 2 reps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b/>
                <w:bCs/>
                <w:sz w:val="26"/>
                <w:szCs w:val="26"/>
              </w:rPr>
            </w:pPr>
            <w:r w:rsidRPr="000D6240">
              <w:rPr>
                <w:rFonts w:ascii="Arial" w:hAnsi="Arial" w:cs="Arial"/>
                <w:b/>
                <w:bCs/>
                <w:sz w:val="26"/>
                <w:szCs w:val="26"/>
              </w:rPr>
              <w:t>Single and double knee to chest (supine)</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30 sec x 2 reps</w:t>
            </w:r>
          </w:p>
        </w:tc>
      </w:tr>
      <w:tr w:rsidR="000D6240" w:rsidRPr="000D6240">
        <w:tblPrEx>
          <w:tblBorders>
            <w:top w:val="none" w:sz="0" w:space="0" w:color="auto"/>
          </w:tblBorders>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b/>
                <w:bCs/>
                <w:sz w:val="26"/>
                <w:szCs w:val="26"/>
              </w:rPr>
              <w:t xml:space="preserve">Figure Four </w:t>
            </w:r>
            <w:proofErr w:type="spellStart"/>
            <w:r w:rsidRPr="000D6240">
              <w:rPr>
                <w:rFonts w:ascii="Arial" w:hAnsi="Arial" w:cs="Arial"/>
                <w:b/>
                <w:bCs/>
                <w:sz w:val="26"/>
                <w:szCs w:val="26"/>
              </w:rPr>
              <w:t>Piriformis</w:t>
            </w:r>
            <w:proofErr w:type="spellEnd"/>
            <w:r w:rsidRPr="000D6240">
              <w:rPr>
                <w:rFonts w:ascii="Arial" w:hAnsi="Arial" w:cs="Arial"/>
                <w:b/>
                <w:bCs/>
                <w:sz w:val="26"/>
                <w:szCs w:val="26"/>
              </w:rPr>
              <w:t xml:space="preserve"> stretch - supine</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30 sec x 2 reps</w:t>
            </w:r>
          </w:p>
        </w:tc>
      </w:tr>
      <w:tr w:rsidR="000D6240" w:rsidRPr="000D6240">
        <w:tblPrEx>
          <w:tblCellMar>
            <w:top w:w="0" w:type="dxa"/>
            <w:bottom w:w="0" w:type="dxa"/>
          </w:tblCellMar>
        </w:tblPrEx>
        <w:tc>
          <w:tcPr>
            <w:tcW w:w="376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b/>
                <w:bCs/>
                <w:sz w:val="26"/>
                <w:szCs w:val="26"/>
              </w:rPr>
            </w:pPr>
            <w:r w:rsidRPr="000D6240">
              <w:rPr>
                <w:rFonts w:ascii="Arial" w:hAnsi="Arial" w:cs="Arial"/>
                <w:b/>
                <w:bCs/>
                <w:sz w:val="26"/>
                <w:szCs w:val="26"/>
              </w:rPr>
              <w:t>Seated butterfly stretch-seated</w:t>
            </w:r>
          </w:p>
        </w:tc>
        <w:tc>
          <w:tcPr>
            <w:tcW w:w="244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w:t>
            </w:r>
          </w:p>
        </w:tc>
        <w:tc>
          <w:tcPr>
            <w:tcW w:w="3680" w:type="dxa"/>
            <w:tcBorders>
              <w:top w:val="single" w:sz="8" w:space="0" w:color="000000"/>
              <w:left w:val="single" w:sz="8" w:space="0" w:color="000000"/>
              <w:bottom w:val="single" w:sz="8" w:space="0" w:color="000000"/>
              <w:right w:val="single" w:sz="8" w:space="0" w:color="000000"/>
            </w:tcBorders>
            <w:shd w:val="clear" w:color="auto" w:fill="FFFF4F"/>
            <w:tcMar>
              <w:top w:w="60" w:type="nil"/>
              <w:left w:w="60" w:type="nil"/>
              <w:bottom w:w="60" w:type="nil"/>
              <w:right w:w="60" w:type="nil"/>
            </w:tcMar>
            <w:vAlign w:val="center"/>
          </w:tcPr>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30 sec x 2 reps</w:t>
            </w:r>
          </w:p>
        </w:tc>
      </w:tr>
    </w:tbl>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 </w:t>
      </w:r>
    </w:p>
    <w:p w:rsidR="000D6240" w:rsidRPr="000D6240" w:rsidRDefault="000D6240" w:rsidP="000D6240">
      <w:pPr>
        <w:widowControl w:val="0"/>
        <w:autoSpaceDE w:val="0"/>
        <w:autoSpaceDN w:val="0"/>
        <w:adjustRightInd w:val="0"/>
        <w:spacing w:after="120"/>
        <w:rPr>
          <w:rFonts w:ascii="Arial" w:hAnsi="Arial" w:cs="Arial"/>
          <w:sz w:val="26"/>
          <w:szCs w:val="26"/>
        </w:rPr>
      </w:pPr>
    </w:p>
    <w:p w:rsidR="000D6240" w:rsidRPr="000D6240" w:rsidRDefault="000D6240" w:rsidP="000D6240">
      <w:pPr>
        <w:widowControl w:val="0"/>
        <w:autoSpaceDE w:val="0"/>
        <w:autoSpaceDN w:val="0"/>
        <w:adjustRightInd w:val="0"/>
        <w:rPr>
          <w:rFonts w:ascii="Arial" w:hAnsi="Arial" w:cs="Arial"/>
          <w:sz w:val="26"/>
          <w:szCs w:val="26"/>
        </w:rPr>
      </w:pPr>
      <w:r w:rsidRPr="000D6240">
        <w:rPr>
          <w:rFonts w:ascii="Arial" w:hAnsi="Arial" w:cs="Arial"/>
          <w:sz w:val="26"/>
          <w:szCs w:val="26"/>
        </w:rPr>
        <w:t xml:space="preserve">1. Lim, Bee-Oh, et al. "Effects of Sports Injury Prevention Training on the Biomechanical Risk Factors of Anterior </w:t>
      </w:r>
      <w:proofErr w:type="spellStart"/>
      <w:r w:rsidRPr="000D6240">
        <w:rPr>
          <w:rFonts w:ascii="Arial" w:hAnsi="Arial" w:cs="Arial"/>
          <w:sz w:val="26"/>
          <w:szCs w:val="26"/>
        </w:rPr>
        <w:t>Cruciate</w:t>
      </w:r>
      <w:proofErr w:type="spellEnd"/>
      <w:r w:rsidRPr="000D6240">
        <w:rPr>
          <w:rFonts w:ascii="Arial" w:hAnsi="Arial" w:cs="Arial"/>
          <w:sz w:val="26"/>
          <w:szCs w:val="26"/>
        </w:rPr>
        <w:t xml:space="preserve"> Ligament Injury in High School Female Basketball Players." </w:t>
      </w:r>
      <w:proofErr w:type="gramStart"/>
      <w:r w:rsidRPr="000D6240">
        <w:rPr>
          <w:rFonts w:ascii="Arial" w:hAnsi="Arial" w:cs="Arial"/>
          <w:i/>
          <w:iCs/>
          <w:sz w:val="26"/>
          <w:szCs w:val="26"/>
        </w:rPr>
        <w:t>American Journal of Sports Medicine</w:t>
      </w:r>
      <w:r w:rsidRPr="000D6240">
        <w:rPr>
          <w:rFonts w:ascii="Arial" w:hAnsi="Arial" w:cs="Arial"/>
          <w:sz w:val="26"/>
          <w:szCs w:val="26"/>
        </w:rPr>
        <w:t xml:space="preserve"> 37, no. 9 (2009); 1728-1734</w:t>
      </w:r>
      <w:r w:rsidRPr="000D6240">
        <w:rPr>
          <w:rFonts w:ascii="Arial" w:hAnsi="Arial" w:cs="Arial"/>
          <w:i/>
          <w:iCs/>
          <w:sz w:val="26"/>
          <w:szCs w:val="26"/>
        </w:rPr>
        <w:t>.</w:t>
      </w:r>
      <w:proofErr w:type="gramEnd"/>
    </w:p>
    <w:p w:rsidR="000D6240" w:rsidRPr="000D6240" w:rsidRDefault="000D6240" w:rsidP="000D6240">
      <w:pPr>
        <w:widowControl w:val="0"/>
        <w:autoSpaceDE w:val="0"/>
        <w:autoSpaceDN w:val="0"/>
        <w:adjustRightInd w:val="0"/>
        <w:spacing w:line="400" w:lineRule="atLeast"/>
        <w:rPr>
          <w:rFonts w:ascii="Arial" w:hAnsi="Arial" w:cs="Arial"/>
          <w:sz w:val="26"/>
          <w:szCs w:val="26"/>
        </w:rPr>
      </w:pPr>
      <w:r w:rsidRPr="000D6240">
        <w:rPr>
          <w:rFonts w:ascii="Arial" w:hAnsi="Arial" w:cs="Arial"/>
          <w:sz w:val="26"/>
          <w:szCs w:val="26"/>
        </w:rPr>
        <w:t xml:space="preserve">2. To download a free copy of the full PEP program, click </w:t>
      </w:r>
      <w:hyperlink r:id="rId8" w:history="1">
        <w:r w:rsidRPr="000D6240">
          <w:rPr>
            <w:rFonts w:ascii="Arial" w:hAnsi="Arial" w:cs="Arial"/>
            <w:color w:val="1970C5"/>
            <w:sz w:val="26"/>
            <w:szCs w:val="26"/>
          </w:rPr>
          <w:t>here</w:t>
        </w:r>
      </w:hyperlink>
      <w:r w:rsidRPr="000D6240">
        <w:rPr>
          <w:rFonts w:ascii="Arial" w:hAnsi="Arial" w:cs="Arial"/>
          <w:sz w:val="26"/>
          <w:szCs w:val="26"/>
        </w:rPr>
        <w:t>.</w:t>
      </w:r>
    </w:p>
    <w:p w:rsidR="000D6240" w:rsidRPr="000D6240" w:rsidRDefault="000D6240" w:rsidP="000D6240">
      <w:pPr>
        <w:widowControl w:val="0"/>
        <w:autoSpaceDE w:val="0"/>
        <w:autoSpaceDN w:val="0"/>
        <w:adjustRightInd w:val="0"/>
        <w:rPr>
          <w:rFonts w:ascii="Arial" w:hAnsi="Arial" w:cs="Arial"/>
          <w:sz w:val="26"/>
          <w:szCs w:val="26"/>
        </w:rPr>
      </w:pPr>
    </w:p>
    <w:p w:rsidR="00AD7C1F" w:rsidRDefault="000D6240" w:rsidP="000D6240">
      <w:r w:rsidRPr="000D6240">
        <w:rPr>
          <w:rFonts w:ascii="Arial" w:hAnsi="Arial" w:cs="Arial"/>
          <w:sz w:val="26"/>
          <w:szCs w:val="26"/>
        </w:rPr>
        <w:t xml:space="preserve">Read more: </w:t>
      </w:r>
      <w:hyperlink r:id="rId9" w:history="1">
        <w:r w:rsidRPr="000D6240">
          <w:rPr>
            <w:rFonts w:ascii="Arial" w:hAnsi="Arial" w:cs="Arial"/>
            <w:color w:val="002788"/>
            <w:sz w:val="26"/>
            <w:szCs w:val="26"/>
          </w:rPr>
          <w:t>http://www.momsteam.com/health-safety/warm-up-program-reduces-female-acl-injury-risk-study#ixzz0ud7mNh1P</w:t>
        </w:r>
      </w:hyperlink>
    </w:p>
    <w:sectPr w:rsidR="00AD7C1F" w:rsidSect="00A917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6240"/>
    <w:rsid w:val="000D624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msteam.com/node/803" TargetMode="External"/><Relationship Id="rId5" Type="http://schemas.openxmlformats.org/officeDocument/2006/relationships/hyperlink" Target="http://www.aclprevent.com/PEPExercises.pdf" TargetMode="External"/><Relationship Id="rId6" Type="http://schemas.openxmlformats.org/officeDocument/2006/relationships/hyperlink" Target="http://www.aclprevent.com/pepprogram.htm" TargetMode="External"/><Relationship Id="rId7" Type="http://schemas.openxmlformats.org/officeDocument/2006/relationships/hyperlink" Target="http://www.momsteam.com/node/2606" TargetMode="External"/><Relationship Id="rId8" Type="http://schemas.openxmlformats.org/officeDocument/2006/relationships/hyperlink" Target="http://www.aclprevent.com/PEPExercises.pdf" TargetMode="External"/><Relationship Id="rId9" Type="http://schemas.openxmlformats.org/officeDocument/2006/relationships/hyperlink" Target="http://www.momsteam.com/health-safety/warm-up-program-reduces-female-acl-injury-risk-study#ixzz0ud7mNh1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4362</Characters>
  <Application>Microsoft Macintosh Word</Application>
  <DocSecurity>0</DocSecurity>
  <Lines>36</Lines>
  <Paragraphs>8</Paragraphs>
  <ScaleCrop>false</ScaleCrop>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Jacobs</cp:lastModifiedBy>
  <cp:revision>1</cp:revision>
  <dcterms:created xsi:type="dcterms:W3CDTF">2010-07-24T19:33:00Z</dcterms:created>
  <dcterms:modified xsi:type="dcterms:W3CDTF">2010-07-24T19:41:00Z</dcterms:modified>
</cp:coreProperties>
</file>